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45" w:rsidRPr="00321BE1" w:rsidRDefault="00627345" w:rsidP="00627345">
      <w:pPr>
        <w:jc w:val="center"/>
        <w:rPr>
          <w:szCs w:val="24"/>
        </w:rPr>
      </w:pPr>
      <w:r w:rsidRPr="00321BE1">
        <w:rPr>
          <w:szCs w:val="24"/>
        </w:rPr>
        <w:t>SOUTH RIVER ELECTRIC MEMBERSHIP CORPORATION</w:t>
      </w:r>
    </w:p>
    <w:p w:rsidR="00627345" w:rsidRPr="00321BE1" w:rsidRDefault="00627345" w:rsidP="00627345">
      <w:pPr>
        <w:jc w:val="center"/>
        <w:rPr>
          <w:szCs w:val="24"/>
        </w:rPr>
      </w:pPr>
      <w:r w:rsidRPr="00321BE1">
        <w:rPr>
          <w:szCs w:val="24"/>
        </w:rPr>
        <w:t>DUNN, NORTH CAROLINA</w:t>
      </w:r>
    </w:p>
    <w:p w:rsidR="00627345" w:rsidRPr="00321BE1" w:rsidRDefault="00627345" w:rsidP="00627345">
      <w:pPr>
        <w:jc w:val="center"/>
        <w:rPr>
          <w:szCs w:val="24"/>
        </w:rPr>
      </w:pPr>
    </w:p>
    <w:p w:rsidR="00627345" w:rsidRPr="00321BE1" w:rsidRDefault="00627345" w:rsidP="00627345">
      <w:pPr>
        <w:jc w:val="center"/>
        <w:rPr>
          <w:szCs w:val="24"/>
        </w:rPr>
      </w:pPr>
      <w:r w:rsidRPr="00321BE1">
        <w:rPr>
          <w:szCs w:val="24"/>
        </w:rPr>
        <w:t>SCHEDULE LGS</w:t>
      </w:r>
    </w:p>
    <w:p w:rsidR="00627345" w:rsidRPr="00321BE1" w:rsidRDefault="00627345" w:rsidP="00627345">
      <w:pPr>
        <w:jc w:val="center"/>
        <w:rPr>
          <w:szCs w:val="24"/>
        </w:rPr>
      </w:pPr>
      <w:r w:rsidRPr="00321BE1">
        <w:rPr>
          <w:szCs w:val="24"/>
          <w:u w:val="single"/>
        </w:rPr>
        <w:t>Large General Service</w:t>
      </w:r>
    </w:p>
    <w:p w:rsidR="00627345" w:rsidRPr="00321BE1" w:rsidRDefault="00627345" w:rsidP="00627345">
      <w:pPr>
        <w:rPr>
          <w:szCs w:val="24"/>
          <w:u w:val="single"/>
        </w:rPr>
      </w:pPr>
    </w:p>
    <w:p w:rsidR="00627345" w:rsidRPr="00321BE1" w:rsidRDefault="00627345" w:rsidP="00627345">
      <w:pPr>
        <w:rPr>
          <w:szCs w:val="24"/>
          <w:u w:val="single"/>
        </w:rPr>
      </w:pPr>
      <w:r w:rsidRPr="00321BE1">
        <w:rPr>
          <w:szCs w:val="24"/>
          <w:u w:val="single"/>
        </w:rPr>
        <w:t>AVAILABILITY</w:t>
      </w:r>
    </w:p>
    <w:p w:rsidR="00627345" w:rsidRPr="00321BE1" w:rsidRDefault="00627345" w:rsidP="00627345">
      <w:pPr>
        <w:rPr>
          <w:szCs w:val="24"/>
        </w:rPr>
      </w:pPr>
      <w:r w:rsidRPr="00321BE1">
        <w:rPr>
          <w:szCs w:val="24"/>
        </w:rPr>
        <w:t>This Schedule is available throughout the Cooperative’s Service area for consumers establishing billing demands greater than 250 kW.  Service under this schedule is subject to provisions of the Cooperative’s Service Rules and Regulations, which may be amended from time to time.</w:t>
      </w:r>
    </w:p>
    <w:p w:rsidR="00627345" w:rsidRPr="00321BE1" w:rsidRDefault="00627345" w:rsidP="00627345">
      <w:pPr>
        <w:rPr>
          <w:b/>
          <w:szCs w:val="24"/>
          <w:u w:val="single"/>
        </w:rPr>
      </w:pPr>
    </w:p>
    <w:p w:rsidR="00627345" w:rsidRPr="00321BE1" w:rsidRDefault="00627345" w:rsidP="00627345">
      <w:pPr>
        <w:rPr>
          <w:szCs w:val="24"/>
          <w:u w:val="single"/>
        </w:rPr>
      </w:pPr>
      <w:r w:rsidRPr="00321BE1">
        <w:rPr>
          <w:szCs w:val="24"/>
          <w:u w:val="single"/>
        </w:rPr>
        <w:t>TYPE OF SERVICE</w:t>
      </w:r>
    </w:p>
    <w:p w:rsidR="00627345" w:rsidRPr="00321BE1" w:rsidRDefault="00627345" w:rsidP="00627345">
      <w:pPr>
        <w:rPr>
          <w:szCs w:val="24"/>
        </w:rPr>
      </w:pPr>
      <w:r w:rsidRPr="00321BE1">
        <w:rPr>
          <w:szCs w:val="24"/>
        </w:rPr>
        <w:t>Standard service under this schedule shall be single- or three-phase, 60-hertz alternating current, at one of the Cooperative's standard secondary</w:t>
      </w:r>
      <w:r>
        <w:rPr>
          <w:szCs w:val="24"/>
        </w:rPr>
        <w:t xml:space="preserve"> or primary </w:t>
      </w:r>
      <w:r w:rsidRPr="00321BE1">
        <w:rPr>
          <w:szCs w:val="24"/>
        </w:rPr>
        <w:t xml:space="preserve">voltages. </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MONTHLY RATE</w:t>
      </w:r>
    </w:p>
    <w:p w:rsidR="00627345" w:rsidRPr="00321BE1" w:rsidRDefault="00627345" w:rsidP="00627345">
      <w:pPr>
        <w:pStyle w:val="Footer"/>
        <w:tabs>
          <w:tab w:val="clear" w:pos="4320"/>
          <w:tab w:val="clear" w:pos="8640"/>
          <w:tab w:val="decimal" w:pos="6840"/>
        </w:tabs>
        <w:rPr>
          <w:rFonts w:ascii="Times New Roman" w:hAnsi="Times New Roman"/>
          <w:szCs w:val="24"/>
        </w:rPr>
      </w:pPr>
      <w:r w:rsidRPr="00321BE1">
        <w:rPr>
          <w:rFonts w:ascii="Times New Roman" w:hAnsi="Times New Roman"/>
          <w:szCs w:val="24"/>
        </w:rPr>
        <w:t>Basic Facilities Charge:</w:t>
      </w:r>
      <w:r w:rsidRPr="00321BE1">
        <w:rPr>
          <w:rFonts w:ascii="Times New Roman" w:hAnsi="Times New Roman"/>
          <w:szCs w:val="24"/>
        </w:rPr>
        <w:tab/>
        <w:t xml:space="preserve">$ </w:t>
      </w:r>
      <w:r>
        <w:rPr>
          <w:rFonts w:ascii="Times New Roman" w:hAnsi="Times New Roman"/>
          <w:szCs w:val="24"/>
        </w:rPr>
        <w:t>275</w:t>
      </w:r>
      <w:r w:rsidRPr="00321BE1">
        <w:rPr>
          <w:rFonts w:ascii="Times New Roman" w:hAnsi="Times New Roman"/>
          <w:szCs w:val="24"/>
        </w:rPr>
        <w:t>.00 per month</w:t>
      </w:r>
    </w:p>
    <w:p w:rsidR="00627345" w:rsidRPr="00321BE1" w:rsidRDefault="00627345" w:rsidP="00627345">
      <w:pPr>
        <w:rPr>
          <w:szCs w:val="24"/>
        </w:rPr>
      </w:pPr>
      <w:r w:rsidRPr="00321BE1">
        <w:rPr>
          <w:szCs w:val="24"/>
        </w:rPr>
        <w:t>Demand Charge:</w:t>
      </w:r>
    </w:p>
    <w:p w:rsidR="00627345" w:rsidRPr="00321BE1" w:rsidRDefault="00627345" w:rsidP="00627345">
      <w:pPr>
        <w:tabs>
          <w:tab w:val="left" w:pos="360"/>
          <w:tab w:val="decimal" w:pos="6840"/>
        </w:tabs>
        <w:rPr>
          <w:szCs w:val="24"/>
        </w:rPr>
      </w:pPr>
      <w:r w:rsidRPr="00321BE1">
        <w:rPr>
          <w:szCs w:val="24"/>
        </w:rPr>
        <w:tab/>
      </w:r>
      <w:r>
        <w:rPr>
          <w:szCs w:val="24"/>
        </w:rPr>
        <w:t>For a</w:t>
      </w:r>
      <w:r w:rsidRPr="00321BE1">
        <w:rPr>
          <w:szCs w:val="24"/>
        </w:rPr>
        <w:t>ll kW of billing demand</w:t>
      </w:r>
      <w:r>
        <w:rPr>
          <w:szCs w:val="24"/>
        </w:rPr>
        <w:t xml:space="preserve"> per month</w:t>
      </w:r>
      <w:r w:rsidRPr="00321BE1">
        <w:rPr>
          <w:szCs w:val="24"/>
        </w:rPr>
        <w:tab/>
        <w:t>$ 9.</w:t>
      </w:r>
      <w:r>
        <w:rPr>
          <w:szCs w:val="24"/>
        </w:rPr>
        <w:t>00</w:t>
      </w:r>
      <w:r w:rsidRPr="00321BE1">
        <w:rPr>
          <w:szCs w:val="24"/>
        </w:rPr>
        <w:t xml:space="preserve"> per kW</w:t>
      </w:r>
      <w:r w:rsidRPr="00321BE1">
        <w:rPr>
          <w:szCs w:val="24"/>
        </w:rPr>
        <w:tab/>
      </w:r>
    </w:p>
    <w:p w:rsidR="00627345" w:rsidRPr="00321BE1" w:rsidRDefault="00627345" w:rsidP="00627345">
      <w:pPr>
        <w:rPr>
          <w:szCs w:val="24"/>
        </w:rPr>
      </w:pPr>
      <w:r w:rsidRPr="00321BE1">
        <w:rPr>
          <w:szCs w:val="24"/>
        </w:rPr>
        <w:t>Energy Charge:</w:t>
      </w:r>
    </w:p>
    <w:p w:rsidR="00627345" w:rsidRPr="00321BE1" w:rsidRDefault="00627345" w:rsidP="00627345">
      <w:pPr>
        <w:tabs>
          <w:tab w:val="left" w:pos="360"/>
          <w:tab w:val="decimal" w:pos="6840"/>
        </w:tabs>
        <w:rPr>
          <w:szCs w:val="24"/>
        </w:rPr>
      </w:pPr>
      <w:r w:rsidRPr="00321BE1">
        <w:rPr>
          <w:szCs w:val="24"/>
        </w:rPr>
        <w:tab/>
      </w:r>
      <w:r>
        <w:rPr>
          <w:szCs w:val="24"/>
        </w:rPr>
        <w:t>For a</w:t>
      </w:r>
      <w:r w:rsidRPr="00321BE1">
        <w:rPr>
          <w:szCs w:val="24"/>
        </w:rPr>
        <w:t xml:space="preserve">ll kWh </w:t>
      </w:r>
      <w:r>
        <w:rPr>
          <w:szCs w:val="24"/>
        </w:rPr>
        <w:t xml:space="preserve">used </w:t>
      </w:r>
      <w:r w:rsidRPr="00321BE1">
        <w:rPr>
          <w:szCs w:val="24"/>
        </w:rPr>
        <w:t>per month</w:t>
      </w:r>
      <w:r w:rsidRPr="00321BE1">
        <w:rPr>
          <w:szCs w:val="24"/>
        </w:rPr>
        <w:tab/>
        <w:t>4.</w:t>
      </w:r>
      <w:r>
        <w:rPr>
          <w:szCs w:val="24"/>
        </w:rPr>
        <w:t>46</w:t>
      </w:r>
      <w:r w:rsidRPr="00321BE1">
        <w:rPr>
          <w:szCs w:val="24"/>
        </w:rPr>
        <w:t>¢ per kWh</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MINIMUM MONTHLY CHARGE</w:t>
      </w:r>
    </w:p>
    <w:p w:rsidR="00627345" w:rsidRPr="00321BE1" w:rsidRDefault="00627345" w:rsidP="00627345">
      <w:pPr>
        <w:spacing w:after="120"/>
        <w:rPr>
          <w:szCs w:val="24"/>
        </w:rPr>
      </w:pPr>
      <w:r w:rsidRPr="00321BE1">
        <w:rPr>
          <w:szCs w:val="24"/>
        </w:rPr>
        <w:t>The minimum monthly charge shall be the greater of the following charges:</w:t>
      </w:r>
    </w:p>
    <w:p w:rsidR="00627345" w:rsidRPr="00321BE1" w:rsidRDefault="00627345" w:rsidP="00627345">
      <w:pPr>
        <w:numPr>
          <w:ilvl w:val="0"/>
          <w:numId w:val="14"/>
        </w:numPr>
        <w:tabs>
          <w:tab w:val="clear" w:pos="1080"/>
          <w:tab w:val="left" w:pos="720"/>
        </w:tabs>
        <w:ind w:hanging="450"/>
        <w:rPr>
          <w:szCs w:val="24"/>
        </w:rPr>
      </w:pPr>
      <w:r w:rsidRPr="00321BE1">
        <w:rPr>
          <w:szCs w:val="24"/>
        </w:rPr>
        <w:t>The Basic Facilities Charge stated above,</w:t>
      </w:r>
    </w:p>
    <w:p w:rsidR="00627345" w:rsidRPr="00321BE1" w:rsidRDefault="00627345" w:rsidP="00627345">
      <w:pPr>
        <w:numPr>
          <w:ilvl w:val="0"/>
          <w:numId w:val="14"/>
        </w:numPr>
        <w:tabs>
          <w:tab w:val="clear" w:pos="1080"/>
          <w:tab w:val="left" w:pos="720"/>
        </w:tabs>
        <w:ind w:hanging="450"/>
        <w:rPr>
          <w:szCs w:val="24"/>
        </w:rPr>
      </w:pPr>
      <w:r w:rsidRPr="00321BE1">
        <w:rPr>
          <w:szCs w:val="24"/>
        </w:rPr>
        <w:t>The minimum monthly charge specified in the contract for service, or</w:t>
      </w:r>
    </w:p>
    <w:p w:rsidR="00627345" w:rsidRPr="00321BE1" w:rsidRDefault="00627345" w:rsidP="00627345">
      <w:pPr>
        <w:numPr>
          <w:ilvl w:val="0"/>
          <w:numId w:val="14"/>
        </w:numPr>
        <w:tabs>
          <w:tab w:val="clear" w:pos="1080"/>
          <w:tab w:val="left" w:pos="720"/>
        </w:tabs>
        <w:ind w:hanging="450"/>
        <w:rPr>
          <w:szCs w:val="24"/>
        </w:rPr>
      </w:pPr>
      <w:r w:rsidRPr="00321BE1">
        <w:rPr>
          <w:szCs w:val="24"/>
        </w:rPr>
        <w:t>The rated kVA capacity of the transformer(s) serving the consumer times $1.</w:t>
      </w:r>
      <w:r>
        <w:rPr>
          <w:szCs w:val="24"/>
        </w:rPr>
        <w:t>7</w:t>
      </w:r>
      <w:r w:rsidRPr="00321BE1">
        <w:rPr>
          <w:szCs w:val="24"/>
        </w:rPr>
        <w:t>5 per kVA.</w:t>
      </w:r>
    </w:p>
    <w:p w:rsidR="00627345" w:rsidRPr="00321BE1" w:rsidRDefault="00627345" w:rsidP="00627345">
      <w:pPr>
        <w:rPr>
          <w:color w:val="000000"/>
          <w:szCs w:val="24"/>
        </w:rPr>
      </w:pPr>
    </w:p>
    <w:p w:rsidR="00627345" w:rsidRPr="00321BE1" w:rsidRDefault="00627345" w:rsidP="00627345">
      <w:pPr>
        <w:spacing w:after="120"/>
        <w:rPr>
          <w:color w:val="000000"/>
          <w:szCs w:val="24"/>
        </w:rPr>
      </w:pPr>
      <w:r w:rsidRPr="00321BE1">
        <w:rPr>
          <w:color w:val="000000"/>
          <w:szCs w:val="24"/>
        </w:rPr>
        <w:t>Consumers requesting a service, which has been disconnected for less than twelve months, to be reconnected, shall be responsible for the greater of:</w:t>
      </w:r>
    </w:p>
    <w:p w:rsidR="00627345" w:rsidRPr="00321BE1" w:rsidRDefault="00627345" w:rsidP="00627345">
      <w:pPr>
        <w:numPr>
          <w:ilvl w:val="0"/>
          <w:numId w:val="15"/>
        </w:numPr>
        <w:ind w:hanging="450"/>
        <w:rPr>
          <w:color w:val="000000"/>
          <w:szCs w:val="24"/>
        </w:rPr>
      </w:pPr>
      <w:r w:rsidRPr="00321BE1">
        <w:rPr>
          <w:color w:val="000000"/>
          <w:szCs w:val="24"/>
        </w:rPr>
        <w:t>The monthly minimum charge, as determined above, times the number of months the service was disconnected, or</w:t>
      </w:r>
    </w:p>
    <w:p w:rsidR="00627345" w:rsidRPr="00321BE1" w:rsidRDefault="00627345" w:rsidP="00627345">
      <w:pPr>
        <w:numPr>
          <w:ilvl w:val="0"/>
          <w:numId w:val="15"/>
        </w:numPr>
        <w:ind w:hanging="450"/>
        <w:rPr>
          <w:szCs w:val="24"/>
          <w:u w:val="single"/>
        </w:rPr>
      </w:pPr>
      <w:r w:rsidRPr="00321BE1">
        <w:rPr>
          <w:color w:val="000000"/>
          <w:szCs w:val="24"/>
        </w:rPr>
        <w:t>The Cooperative’s current reconnection charge.</w:t>
      </w:r>
    </w:p>
    <w:p w:rsidR="00627345" w:rsidRPr="00321BE1" w:rsidRDefault="00627345" w:rsidP="00627345">
      <w:pPr>
        <w:rPr>
          <w:color w:val="000000"/>
          <w:szCs w:val="24"/>
        </w:rPr>
      </w:pPr>
    </w:p>
    <w:p w:rsidR="00627345" w:rsidRPr="00321BE1" w:rsidRDefault="00627345" w:rsidP="00627345">
      <w:pPr>
        <w:rPr>
          <w:szCs w:val="24"/>
          <w:u w:val="single"/>
        </w:rPr>
      </w:pPr>
      <w:r w:rsidRPr="00321BE1">
        <w:rPr>
          <w:szCs w:val="24"/>
          <w:u w:val="single"/>
        </w:rPr>
        <w:t>DETERMINATION OF BILLING DEMAND</w:t>
      </w:r>
    </w:p>
    <w:p w:rsidR="00627345" w:rsidRPr="00321BE1" w:rsidRDefault="00627345" w:rsidP="00627345">
      <w:pPr>
        <w:rPr>
          <w:szCs w:val="24"/>
        </w:rPr>
      </w:pPr>
      <w:r w:rsidRPr="00321BE1">
        <w:rPr>
          <w:szCs w:val="24"/>
        </w:rPr>
        <w:t>The billing demand shall be the maximum fifteen minute integrated kilowatt demand established by the consumer during the month for which the bill is rendered, as indicated or recorded by a demand meter, adjusted for power factor.</w:t>
      </w:r>
    </w:p>
    <w:p w:rsidR="00627345" w:rsidRPr="00321BE1" w:rsidRDefault="00627345" w:rsidP="00627345">
      <w:pPr>
        <w:rPr>
          <w:szCs w:val="24"/>
          <w:u w:val="single"/>
        </w:rPr>
      </w:pPr>
    </w:p>
    <w:p w:rsidR="00627345" w:rsidRDefault="00627345" w:rsidP="00627345">
      <w:pPr>
        <w:rPr>
          <w:szCs w:val="24"/>
          <w:u w:val="single"/>
        </w:rPr>
      </w:pPr>
      <w:r>
        <w:rPr>
          <w:szCs w:val="24"/>
          <w:u w:val="single"/>
        </w:rPr>
        <w:br w:type="page"/>
      </w:r>
    </w:p>
    <w:p w:rsidR="00627345" w:rsidRPr="00321BE1" w:rsidRDefault="00627345" w:rsidP="00627345">
      <w:pPr>
        <w:rPr>
          <w:szCs w:val="24"/>
        </w:rPr>
      </w:pPr>
      <w:r w:rsidRPr="00321BE1">
        <w:rPr>
          <w:szCs w:val="24"/>
        </w:rPr>
        <w:t>SOUTH RIVER ELECTRIC MEMBERSHIP CORPORATION</w:t>
      </w:r>
    </w:p>
    <w:p w:rsidR="00627345" w:rsidRPr="00321BE1" w:rsidRDefault="00627345" w:rsidP="00627345">
      <w:pPr>
        <w:rPr>
          <w:szCs w:val="24"/>
        </w:rPr>
      </w:pPr>
      <w:r w:rsidRPr="00321BE1">
        <w:rPr>
          <w:szCs w:val="24"/>
        </w:rPr>
        <w:t>SCHEDULE LGS – Page ii</w:t>
      </w:r>
    </w:p>
    <w:p w:rsidR="00627345" w:rsidRPr="00321BE1" w:rsidRDefault="00627345" w:rsidP="00627345">
      <w:pPr>
        <w:rPr>
          <w:szCs w:val="24"/>
        </w:rPr>
      </w:pP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POWER FACTOR ADJUSTMENT</w:t>
      </w:r>
    </w:p>
    <w:p w:rsidR="00627345" w:rsidRPr="00321BE1" w:rsidRDefault="00627345" w:rsidP="00627345">
      <w:pPr>
        <w:rPr>
          <w:szCs w:val="24"/>
        </w:rPr>
      </w:pPr>
      <w:r w:rsidRPr="00321BE1">
        <w:rPr>
          <w:szCs w:val="24"/>
        </w:rPr>
        <w:t>The consumer agrees to maintain unity power factor as nearly as practicable.  Demand charges will be adjusted for consumers with 50 kW or more of measured demand to correct for average power factors lower than 90 percent, and may be so adjusted for other consumers when seller deems necessary.  Such adjustments will be made by increasing the measured demand 1 percent for each 1 percent by which the average power is less than 90 percent lagging.</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CONTRACT PERIOD</w:t>
      </w:r>
    </w:p>
    <w:p w:rsidR="00627345" w:rsidRPr="00321BE1" w:rsidRDefault="00627345" w:rsidP="00627345">
      <w:pPr>
        <w:rPr>
          <w:szCs w:val="24"/>
        </w:rPr>
      </w:pPr>
      <w:r w:rsidRPr="00321BE1">
        <w:rPr>
          <w:szCs w:val="24"/>
        </w:rPr>
        <w:t>The contract period shall the greater of one year or the term specified in the contract for service.</w:t>
      </w:r>
    </w:p>
    <w:p w:rsidR="00627345" w:rsidRPr="00321BE1" w:rsidRDefault="00627345" w:rsidP="00627345">
      <w:pPr>
        <w:rPr>
          <w:szCs w:val="24"/>
          <w:u w:val="single"/>
        </w:rPr>
      </w:pPr>
    </w:p>
    <w:p w:rsidR="00627345" w:rsidRPr="00321BE1" w:rsidRDefault="00627345" w:rsidP="00627345">
      <w:pPr>
        <w:rPr>
          <w:szCs w:val="24"/>
          <w:u w:val="single"/>
        </w:rPr>
      </w:pPr>
      <w:r w:rsidRPr="00321BE1">
        <w:rPr>
          <w:szCs w:val="24"/>
          <w:u w:val="single"/>
        </w:rPr>
        <w:t>SEASONAL RATE OPTION</w:t>
      </w:r>
    </w:p>
    <w:p w:rsidR="00627345" w:rsidRPr="00321BE1" w:rsidRDefault="00627345" w:rsidP="00627345">
      <w:pPr>
        <w:rPr>
          <w:szCs w:val="24"/>
        </w:rPr>
      </w:pPr>
      <w:r w:rsidRPr="00321BE1">
        <w:rPr>
          <w:szCs w:val="24"/>
        </w:rPr>
        <w:t xml:space="preserve">For agricultural consumers using power on a seasonal basis the following seasonal billing option is available on a voluntary basis.  In order to qualify for this option the account must be used for agriculture and the consumer must consume or </w:t>
      </w:r>
      <w:r>
        <w:rPr>
          <w:szCs w:val="24"/>
        </w:rPr>
        <w:t xml:space="preserve">be expected </w:t>
      </w:r>
      <w:r w:rsidRPr="00321BE1">
        <w:rPr>
          <w:szCs w:val="24"/>
        </w:rPr>
        <w:t>to consume</w:t>
      </w:r>
      <w:r>
        <w:rPr>
          <w:szCs w:val="24"/>
        </w:rPr>
        <w:t>,</w:t>
      </w:r>
      <w:r w:rsidRPr="00321BE1">
        <w:rPr>
          <w:szCs w:val="24"/>
        </w:rPr>
        <w:t xml:space="preserve"> at least 75 percent of their total annual kWh usage during any four consecutive months.  For consumers choosing the seasonal rate option, the demand and energy charges associated with this schedule shall apply, but the Basic Facilities Charges and Minimum Monthly Charge shall be modified as outlined below.</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Enrollment:</w:t>
      </w:r>
    </w:p>
    <w:p w:rsidR="00627345" w:rsidRPr="00321BE1" w:rsidRDefault="00627345" w:rsidP="00627345">
      <w:pPr>
        <w:rPr>
          <w:szCs w:val="24"/>
        </w:rPr>
      </w:pPr>
      <w:r w:rsidRPr="00321BE1">
        <w:rPr>
          <w:szCs w:val="24"/>
        </w:rPr>
        <w:t>In order to receive service under the seasonal rate option a consumer must notify the Cooperative between October 1 and November 30 that they wish to be served under the seasonal rate option for the upcoming calendar year.  If the Cooperative confirms that the account is an agricultural account and is indeed seasonal, the seasonal rate option will take effect with the first bill rendered after January of the upcoming year.</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Term:</w:t>
      </w:r>
    </w:p>
    <w:p w:rsidR="00627345" w:rsidRPr="00321BE1" w:rsidRDefault="00627345" w:rsidP="00627345">
      <w:pPr>
        <w:rPr>
          <w:szCs w:val="24"/>
        </w:rPr>
      </w:pPr>
      <w:r w:rsidRPr="00321BE1">
        <w:rPr>
          <w:szCs w:val="24"/>
        </w:rPr>
        <w:t>Consumers choosing the seasonal rate option shall commit to being served under this option for a minimum of two calendar years.  Consumers choosing to return to the standard rate option for the upcoming calendar year after their being on the rate option for at least two years must notify the Cooperative by November 30.</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Usage Months:</w:t>
      </w:r>
    </w:p>
    <w:p w:rsidR="00627345" w:rsidRPr="00321BE1" w:rsidRDefault="00627345" w:rsidP="00627345">
      <w:pPr>
        <w:rPr>
          <w:szCs w:val="24"/>
        </w:rPr>
      </w:pPr>
      <w:r w:rsidRPr="00321BE1">
        <w:rPr>
          <w:szCs w:val="24"/>
        </w:rPr>
        <w:t>At the time a consumer notifies the Cooperative of their desire to take service under the seasonal rate option, the consumer shall choose their “Usage Months” from the options listed below.  Usage Months shall be the three consecutive months the consumer is billed the Seasonal Basic Facilities and kVA Charges as outlined below under seasonal charges.  The Usage Months options are:</w:t>
      </w:r>
    </w:p>
    <w:p w:rsidR="00FE0335" w:rsidRDefault="00FE0335" w:rsidP="00627345"/>
    <w:p w:rsidR="00627345" w:rsidRDefault="00627345" w:rsidP="00627345">
      <w:pPr>
        <w:rPr>
          <w:szCs w:val="24"/>
        </w:rPr>
      </w:pPr>
    </w:p>
    <w:p w:rsidR="00627345" w:rsidRDefault="00627345" w:rsidP="00627345">
      <w:pPr>
        <w:rPr>
          <w:szCs w:val="24"/>
        </w:rPr>
      </w:pPr>
    </w:p>
    <w:p w:rsidR="00627345" w:rsidRDefault="00627345" w:rsidP="00627345">
      <w:pPr>
        <w:rPr>
          <w:szCs w:val="24"/>
        </w:rPr>
      </w:pPr>
    </w:p>
    <w:p w:rsidR="00627345" w:rsidRPr="00321BE1" w:rsidRDefault="00627345" w:rsidP="00627345">
      <w:pPr>
        <w:rPr>
          <w:szCs w:val="24"/>
        </w:rPr>
      </w:pPr>
      <w:r w:rsidRPr="00321BE1">
        <w:rPr>
          <w:szCs w:val="24"/>
        </w:rPr>
        <w:t>SOUTH RIVER ELECTRIC MEMBERSHIP CORPORATION</w:t>
      </w:r>
    </w:p>
    <w:p w:rsidR="00627345" w:rsidRPr="00321BE1" w:rsidRDefault="00627345" w:rsidP="00627345">
      <w:pPr>
        <w:rPr>
          <w:szCs w:val="24"/>
        </w:rPr>
      </w:pPr>
      <w:r w:rsidRPr="00321BE1">
        <w:rPr>
          <w:szCs w:val="24"/>
        </w:rPr>
        <w:t>SCHEDULE LGS – Page iii</w:t>
      </w:r>
    </w:p>
    <w:p w:rsidR="00627345" w:rsidRPr="00321BE1" w:rsidRDefault="00627345" w:rsidP="00627345">
      <w:pPr>
        <w:rPr>
          <w:szCs w:val="24"/>
        </w:rPr>
      </w:pPr>
    </w:p>
    <w:p w:rsidR="00627345" w:rsidRPr="00321BE1" w:rsidRDefault="00627345" w:rsidP="00627345">
      <w:pPr>
        <w:rPr>
          <w:szCs w:val="24"/>
        </w:rPr>
      </w:pPr>
    </w:p>
    <w:p w:rsidR="00627345" w:rsidRPr="00321BE1" w:rsidRDefault="00627345" w:rsidP="00627345">
      <w:pPr>
        <w:ind w:left="540"/>
        <w:rPr>
          <w:szCs w:val="24"/>
        </w:rPr>
      </w:pPr>
      <w:r w:rsidRPr="00321BE1">
        <w:rPr>
          <w:szCs w:val="24"/>
        </w:rPr>
        <w:t>Option 1 – April, May, and June</w:t>
      </w:r>
    </w:p>
    <w:p w:rsidR="00627345" w:rsidRPr="00321BE1" w:rsidRDefault="00627345" w:rsidP="00627345">
      <w:pPr>
        <w:ind w:left="540"/>
        <w:rPr>
          <w:szCs w:val="24"/>
        </w:rPr>
      </w:pPr>
      <w:r w:rsidRPr="00321BE1">
        <w:rPr>
          <w:szCs w:val="24"/>
        </w:rPr>
        <w:t>Option 2 – June, July, and August</w:t>
      </w:r>
    </w:p>
    <w:p w:rsidR="00627345" w:rsidRPr="00321BE1" w:rsidRDefault="00627345" w:rsidP="00627345">
      <w:pPr>
        <w:ind w:left="540"/>
        <w:rPr>
          <w:szCs w:val="24"/>
        </w:rPr>
      </w:pPr>
      <w:r w:rsidRPr="00321BE1">
        <w:rPr>
          <w:szCs w:val="24"/>
        </w:rPr>
        <w:t>Option 3 – August, September, and October</w:t>
      </w:r>
    </w:p>
    <w:p w:rsidR="00627345" w:rsidRPr="00321BE1" w:rsidRDefault="00627345" w:rsidP="00627345">
      <w:pPr>
        <w:ind w:left="540"/>
        <w:rPr>
          <w:szCs w:val="24"/>
        </w:rPr>
      </w:pPr>
      <w:r w:rsidRPr="00321BE1">
        <w:rPr>
          <w:szCs w:val="24"/>
        </w:rPr>
        <w:t>Option 4 – October, November, and December</w:t>
      </w:r>
    </w:p>
    <w:p w:rsidR="00627345" w:rsidRPr="00321BE1" w:rsidRDefault="00627345" w:rsidP="00627345">
      <w:pPr>
        <w:rPr>
          <w:szCs w:val="24"/>
        </w:rPr>
      </w:pPr>
    </w:p>
    <w:p w:rsidR="00627345" w:rsidRPr="00321BE1" w:rsidRDefault="00627345" w:rsidP="00627345">
      <w:pPr>
        <w:rPr>
          <w:szCs w:val="24"/>
        </w:rPr>
      </w:pPr>
      <w:r w:rsidRPr="00321BE1">
        <w:rPr>
          <w:szCs w:val="24"/>
        </w:rPr>
        <w:t>During the non-Usage Months the consumer will only be billed for the actual kWh and kW used at the energy and demand rates shown in this schedule.</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Basic Facilities and kVA Charges:</w:t>
      </w:r>
    </w:p>
    <w:p w:rsidR="00627345" w:rsidRPr="00321BE1" w:rsidRDefault="00627345" w:rsidP="00627345">
      <w:pPr>
        <w:rPr>
          <w:szCs w:val="24"/>
        </w:rPr>
      </w:pPr>
      <w:r w:rsidRPr="00321BE1">
        <w:rPr>
          <w:szCs w:val="24"/>
        </w:rPr>
        <w:t>For the three Usage Months the following Basic Facilities and kVA Charges shall apply:</w:t>
      </w:r>
    </w:p>
    <w:p w:rsidR="00627345" w:rsidRPr="00321BE1" w:rsidRDefault="00627345" w:rsidP="00627345">
      <w:pPr>
        <w:rPr>
          <w:szCs w:val="24"/>
        </w:rPr>
      </w:pPr>
    </w:p>
    <w:p w:rsidR="00627345" w:rsidRPr="00321BE1" w:rsidRDefault="00627345" w:rsidP="00627345">
      <w:pPr>
        <w:ind w:left="540"/>
        <w:rPr>
          <w:szCs w:val="24"/>
        </w:rPr>
      </w:pPr>
      <w:r w:rsidRPr="00321BE1">
        <w:rPr>
          <w:szCs w:val="24"/>
        </w:rPr>
        <w:t>$1,</w:t>
      </w:r>
      <w:r>
        <w:rPr>
          <w:szCs w:val="24"/>
        </w:rPr>
        <w:t>1</w:t>
      </w:r>
      <w:r w:rsidRPr="00321BE1">
        <w:rPr>
          <w:szCs w:val="24"/>
        </w:rPr>
        <w:t>10.00 plus $</w:t>
      </w:r>
      <w:r>
        <w:rPr>
          <w:szCs w:val="24"/>
        </w:rPr>
        <w:t>3.7</w:t>
      </w:r>
      <w:r w:rsidRPr="00321BE1">
        <w:rPr>
          <w:szCs w:val="24"/>
        </w:rPr>
        <w:t>5</w:t>
      </w:r>
      <w:r w:rsidRPr="00321BE1">
        <w:rPr>
          <w:color w:val="FF0000"/>
          <w:szCs w:val="24"/>
        </w:rPr>
        <w:t xml:space="preserve"> </w:t>
      </w:r>
      <w:r w:rsidRPr="00321BE1">
        <w:rPr>
          <w:szCs w:val="24"/>
        </w:rPr>
        <w:t>times the kVA capacity of the transformer based on the member’s load requirements</w:t>
      </w:r>
    </w:p>
    <w:p w:rsidR="00627345" w:rsidRPr="00321BE1" w:rsidRDefault="00627345" w:rsidP="00627345">
      <w:pPr>
        <w:rPr>
          <w:szCs w:val="24"/>
        </w:rPr>
      </w:pPr>
    </w:p>
    <w:p w:rsidR="00627345" w:rsidRPr="00321BE1" w:rsidRDefault="00627345" w:rsidP="00627345">
      <w:pPr>
        <w:rPr>
          <w:szCs w:val="24"/>
          <w:u w:val="single"/>
        </w:rPr>
      </w:pPr>
      <w:r w:rsidRPr="00321BE1">
        <w:rPr>
          <w:szCs w:val="24"/>
          <w:u w:val="single"/>
        </w:rPr>
        <w:t>WHOLESALE POWER ADJUSTMENT</w:t>
      </w:r>
    </w:p>
    <w:p w:rsidR="00627345" w:rsidRPr="00321BE1" w:rsidRDefault="00627345" w:rsidP="00627345">
      <w:pPr>
        <w:rPr>
          <w:szCs w:val="24"/>
        </w:rPr>
      </w:pPr>
      <w:r w:rsidRPr="00321BE1">
        <w:rPr>
          <w:szCs w:val="24"/>
        </w:rPr>
        <w:t>The above charges per kWh will be increased or decreased by 0.001 cents per kWh or major fraction thereof, adjusted for line loss, by which the Cooperative's cost of purchased power per kWh exceeds or is less than the base cost of power as shown in the Wholesale Power Adjustment Clause.</w:t>
      </w:r>
    </w:p>
    <w:p w:rsidR="00627345" w:rsidRPr="00321BE1" w:rsidRDefault="00627345" w:rsidP="00627345">
      <w:pPr>
        <w:rPr>
          <w:szCs w:val="24"/>
        </w:rPr>
      </w:pPr>
    </w:p>
    <w:p w:rsidR="00627345" w:rsidRPr="00321BE1" w:rsidRDefault="00627345" w:rsidP="00627345">
      <w:pPr>
        <w:spacing w:after="120"/>
        <w:rPr>
          <w:szCs w:val="24"/>
          <w:u w:val="single"/>
        </w:rPr>
      </w:pPr>
      <w:r w:rsidRPr="00321BE1">
        <w:rPr>
          <w:szCs w:val="24"/>
          <w:u w:val="single"/>
        </w:rPr>
        <w:t>CONDITIONS OF SERVICE</w:t>
      </w:r>
    </w:p>
    <w:p w:rsidR="00627345" w:rsidRPr="006525FB" w:rsidRDefault="00627345" w:rsidP="00627345">
      <w:pPr>
        <w:numPr>
          <w:ilvl w:val="0"/>
          <w:numId w:val="16"/>
        </w:numPr>
        <w:tabs>
          <w:tab w:val="left" w:pos="720"/>
        </w:tabs>
        <w:spacing w:after="60"/>
        <w:ind w:left="720" w:hanging="450"/>
      </w:pPr>
      <w:r w:rsidRPr="006525FB">
        <w:rPr>
          <w:szCs w:val="24"/>
        </w:rPr>
        <w:t>Motors having a rated capacity of ten horsepower or larger must be three-phase.</w:t>
      </w:r>
    </w:p>
    <w:p w:rsidR="00627345" w:rsidRPr="006525FB" w:rsidRDefault="00627345" w:rsidP="00627345">
      <w:pPr>
        <w:numPr>
          <w:ilvl w:val="0"/>
          <w:numId w:val="16"/>
        </w:numPr>
        <w:tabs>
          <w:tab w:val="left" w:pos="720"/>
        </w:tabs>
        <w:spacing w:after="60"/>
        <w:ind w:left="720" w:hanging="446"/>
      </w:pPr>
      <w:r w:rsidRPr="006525FB">
        <w:rPr>
          <w:szCs w:val="24"/>
        </w:rPr>
        <w:t>Both power and lighting shall be billed at the foregoing rate.  If a separate meter is required for the lighting circuit, the registrations of the two watt-hour meters shall be added to obtain total kilowatt hours used and the registrations of the two demand meters shall be added to obtain the total kilowatt demand for billing purposes.</w:t>
      </w:r>
    </w:p>
    <w:p w:rsidR="00627345" w:rsidRDefault="00627345" w:rsidP="00627345">
      <w:pPr>
        <w:numPr>
          <w:ilvl w:val="0"/>
          <w:numId w:val="16"/>
        </w:numPr>
        <w:tabs>
          <w:tab w:val="left" w:pos="720"/>
        </w:tabs>
        <w:spacing w:after="60"/>
        <w:ind w:left="720" w:hanging="446"/>
        <w:rPr>
          <w:szCs w:val="24"/>
        </w:rPr>
      </w:pPr>
      <w:r w:rsidRPr="006525FB">
        <w:rPr>
          <w:szCs w:val="24"/>
        </w:rPr>
        <w:t>The delivery point shall be the effective point of metering unless otherwise specified in the contract for service, and all wiring, pole lines, and other electric equipment on the load side of the delivery point shall be owned and maintained by the consumer.</w:t>
      </w:r>
    </w:p>
    <w:p w:rsidR="00627345" w:rsidRDefault="00627345" w:rsidP="00627345">
      <w:pPr>
        <w:numPr>
          <w:ilvl w:val="0"/>
          <w:numId w:val="16"/>
        </w:numPr>
        <w:tabs>
          <w:tab w:val="left" w:pos="720"/>
        </w:tabs>
        <w:spacing w:after="60"/>
        <w:ind w:left="720" w:hanging="446"/>
        <w:rPr>
          <w:szCs w:val="24"/>
        </w:rPr>
      </w:pPr>
      <w:r w:rsidRPr="006525FB">
        <w:rPr>
          <w:szCs w:val="24"/>
        </w:rPr>
        <w:t>If the Cooperative provides service at the</w:t>
      </w:r>
      <w:r>
        <w:rPr>
          <w:szCs w:val="24"/>
        </w:rPr>
        <w:t>ir</w:t>
      </w:r>
      <w:r w:rsidRPr="006525FB">
        <w:rPr>
          <w:szCs w:val="24"/>
        </w:rPr>
        <w:t xml:space="preserve"> primary distribution voltage and the consumer owns </w:t>
      </w:r>
      <w:r>
        <w:rPr>
          <w:szCs w:val="24"/>
        </w:rPr>
        <w:t>the all the wiring, poles, and</w:t>
      </w:r>
      <w:r w:rsidRPr="006525FB">
        <w:rPr>
          <w:szCs w:val="24"/>
        </w:rPr>
        <w:t xml:space="preserve"> transformer bank(s) </w:t>
      </w:r>
      <w:r>
        <w:rPr>
          <w:szCs w:val="24"/>
        </w:rPr>
        <w:t>beyond the metering point</w:t>
      </w:r>
      <w:r w:rsidRPr="006525FB">
        <w:rPr>
          <w:szCs w:val="24"/>
        </w:rPr>
        <w:t xml:space="preserve">, </w:t>
      </w:r>
      <w:r w:rsidRPr="00321BE1">
        <w:t>a discount of 4.0% shall be applied to the demand and energy charges.</w:t>
      </w:r>
      <w:r>
        <w:t xml:space="preserve">  T</w:t>
      </w:r>
      <w:r w:rsidRPr="006525FB">
        <w:rPr>
          <w:szCs w:val="24"/>
        </w:rPr>
        <w:t>he Cooperative shall</w:t>
      </w:r>
      <w:r>
        <w:rPr>
          <w:szCs w:val="24"/>
        </w:rPr>
        <w:t xml:space="preserve">, however, </w:t>
      </w:r>
      <w:r w:rsidRPr="006525FB">
        <w:rPr>
          <w:szCs w:val="24"/>
        </w:rPr>
        <w:t xml:space="preserve">have the option of metering at </w:t>
      </w:r>
      <w:r>
        <w:rPr>
          <w:szCs w:val="24"/>
        </w:rPr>
        <w:t xml:space="preserve">the secondary voltage and compensate </w:t>
      </w:r>
      <w:r w:rsidRPr="006525FB">
        <w:rPr>
          <w:szCs w:val="24"/>
        </w:rPr>
        <w:t>to primary metering by adding the estimated transformer losses to the metered kilowatt-hours and kilowatt demand.</w:t>
      </w:r>
    </w:p>
    <w:p w:rsidR="00627345" w:rsidRDefault="00627345" w:rsidP="00627345">
      <w:pPr>
        <w:rPr>
          <w:szCs w:val="24"/>
        </w:rPr>
      </w:pPr>
      <w:r w:rsidRPr="006525FB">
        <w:rPr>
          <w:szCs w:val="24"/>
        </w:rPr>
        <w:t>All motors in excess of 7-1/2 horsepower must be started by reduced voltage starters.  All motors exceeding 60 horsepower must be a slip-ring motor.</w:t>
      </w:r>
    </w:p>
    <w:p w:rsidR="00627345" w:rsidRDefault="00627345" w:rsidP="00627345">
      <w:pPr>
        <w:rPr>
          <w:szCs w:val="24"/>
        </w:rPr>
      </w:pPr>
    </w:p>
    <w:p w:rsidR="00627345" w:rsidRDefault="00627345" w:rsidP="00627345">
      <w:pPr>
        <w:rPr>
          <w:szCs w:val="24"/>
        </w:rPr>
      </w:pPr>
    </w:p>
    <w:p w:rsidR="00627345" w:rsidRDefault="00627345" w:rsidP="00627345">
      <w:pPr>
        <w:rPr>
          <w:szCs w:val="24"/>
        </w:rPr>
      </w:pPr>
    </w:p>
    <w:p w:rsidR="00627345" w:rsidRDefault="00627345" w:rsidP="00627345">
      <w:pPr>
        <w:rPr>
          <w:szCs w:val="24"/>
        </w:rPr>
      </w:pPr>
    </w:p>
    <w:p w:rsidR="00627345" w:rsidRPr="00321BE1" w:rsidRDefault="00627345" w:rsidP="00627345">
      <w:pPr>
        <w:rPr>
          <w:szCs w:val="24"/>
        </w:rPr>
      </w:pPr>
      <w:bookmarkStart w:id="0" w:name="_GoBack"/>
      <w:bookmarkEnd w:id="0"/>
      <w:r w:rsidRPr="00321BE1">
        <w:rPr>
          <w:szCs w:val="24"/>
        </w:rPr>
        <w:t>SOUTH RIVER ELECTRIC MEMBERSHIP CORPORATION</w:t>
      </w:r>
    </w:p>
    <w:p w:rsidR="00627345" w:rsidRPr="00321BE1" w:rsidRDefault="00627345" w:rsidP="00627345">
      <w:pPr>
        <w:rPr>
          <w:szCs w:val="24"/>
        </w:rPr>
      </w:pPr>
      <w:r w:rsidRPr="00321BE1">
        <w:rPr>
          <w:szCs w:val="24"/>
        </w:rPr>
        <w:t xml:space="preserve">SCHEDULE LGS – Page </w:t>
      </w:r>
      <w:proofErr w:type="gramStart"/>
      <w:r w:rsidRPr="00321BE1">
        <w:rPr>
          <w:szCs w:val="24"/>
        </w:rPr>
        <w:t>iv</w:t>
      </w:r>
      <w:proofErr w:type="gramEnd"/>
    </w:p>
    <w:p w:rsidR="00627345" w:rsidRPr="00321BE1" w:rsidRDefault="00627345" w:rsidP="00627345">
      <w:pPr>
        <w:rPr>
          <w:szCs w:val="24"/>
        </w:rPr>
      </w:pPr>
    </w:p>
    <w:p w:rsidR="00627345" w:rsidRPr="00321BE1" w:rsidRDefault="00627345" w:rsidP="00627345">
      <w:pPr>
        <w:tabs>
          <w:tab w:val="decimal" w:pos="5040"/>
        </w:tabs>
        <w:rPr>
          <w:szCs w:val="24"/>
        </w:rPr>
      </w:pPr>
    </w:p>
    <w:p w:rsidR="00627345" w:rsidRPr="00321BE1" w:rsidRDefault="00627345" w:rsidP="00627345">
      <w:pPr>
        <w:tabs>
          <w:tab w:val="decimal" w:pos="5040"/>
        </w:tabs>
        <w:rPr>
          <w:szCs w:val="24"/>
        </w:rPr>
      </w:pPr>
      <w:r w:rsidRPr="00321BE1">
        <w:rPr>
          <w:szCs w:val="24"/>
          <w:u w:val="single"/>
        </w:rPr>
        <w:t>TERMS OF PAYMENT</w:t>
      </w:r>
    </w:p>
    <w:p w:rsidR="00627345" w:rsidRPr="00321BE1" w:rsidRDefault="00627345" w:rsidP="00627345">
      <w:pPr>
        <w:tabs>
          <w:tab w:val="decimal" w:pos="5040"/>
        </w:tabs>
        <w:rPr>
          <w:szCs w:val="24"/>
        </w:rPr>
      </w:pPr>
      <w:r w:rsidRPr="00321BE1">
        <w:rPr>
          <w:szCs w:val="24"/>
        </w:rPr>
        <w:t>Bills are due when rendered and are payable within fifteen (15) days from the date of the bill.  If any bill is not so paid, the Cooperative has the right to suspend service in accordance with its service regulations.</w:t>
      </w:r>
    </w:p>
    <w:p w:rsidR="00627345" w:rsidRPr="00321BE1" w:rsidRDefault="00627345" w:rsidP="00627345">
      <w:pPr>
        <w:tabs>
          <w:tab w:val="decimal" w:pos="5040"/>
        </w:tabs>
        <w:rPr>
          <w:szCs w:val="24"/>
        </w:rPr>
      </w:pPr>
    </w:p>
    <w:p w:rsidR="00627345" w:rsidRPr="00321BE1" w:rsidRDefault="00627345" w:rsidP="00627345">
      <w:pPr>
        <w:tabs>
          <w:tab w:val="left" w:pos="360"/>
          <w:tab w:val="left" w:pos="5760"/>
        </w:tabs>
        <w:rPr>
          <w:szCs w:val="24"/>
          <w:u w:val="single"/>
        </w:rPr>
      </w:pPr>
      <w:r w:rsidRPr="00321BE1">
        <w:rPr>
          <w:szCs w:val="24"/>
          <w:u w:val="single"/>
        </w:rPr>
        <w:t>SALES TAX</w:t>
      </w:r>
    </w:p>
    <w:p w:rsidR="00627345" w:rsidRPr="00321BE1" w:rsidRDefault="00627345" w:rsidP="00627345">
      <w:pPr>
        <w:tabs>
          <w:tab w:val="left" w:pos="360"/>
          <w:tab w:val="left" w:pos="5760"/>
        </w:tabs>
        <w:rPr>
          <w:szCs w:val="24"/>
        </w:rPr>
      </w:pPr>
      <w:r w:rsidRPr="00321BE1">
        <w:rPr>
          <w:szCs w:val="24"/>
        </w:rPr>
        <w:t>Any applicable State and local sales taxes will be added to all service billed under this schedule.</w:t>
      </w:r>
    </w:p>
    <w:p w:rsidR="00627345" w:rsidRDefault="00627345" w:rsidP="00627345">
      <w:pPr>
        <w:tabs>
          <w:tab w:val="left" w:pos="360"/>
          <w:tab w:val="left" w:pos="5760"/>
        </w:tabs>
        <w:jc w:val="center"/>
        <w:rPr>
          <w:szCs w:val="24"/>
        </w:rPr>
        <w:sectPr w:rsidR="00627345" w:rsidSect="002329D3">
          <w:headerReference w:type="default" r:id="rId8"/>
          <w:pgSz w:w="12240" w:h="15840" w:code="1"/>
          <w:pgMar w:top="1440" w:right="1440" w:bottom="1440" w:left="1440" w:header="864" w:footer="864" w:gutter="0"/>
          <w:cols w:space="720"/>
          <w:docGrid w:linePitch="326"/>
        </w:sectPr>
      </w:pPr>
    </w:p>
    <w:p w:rsidR="00627345" w:rsidRPr="00627345" w:rsidRDefault="00627345" w:rsidP="00627345"/>
    <w:sectPr w:rsidR="00627345" w:rsidRPr="00627345" w:rsidSect="00A716F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CD" w:rsidRDefault="00E274CD" w:rsidP="00E274CD">
      <w:r>
        <w:separator/>
      </w:r>
    </w:p>
  </w:endnote>
  <w:endnote w:type="continuationSeparator" w:id="0">
    <w:p w:rsidR="00E274CD" w:rsidRDefault="00E274CD" w:rsidP="00E2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2050206030506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40" w:rsidRPr="00BC6F65" w:rsidRDefault="00627345">
    <w:pPr>
      <w:pStyle w:val="Footer"/>
      <w:tabs>
        <w:tab w:val="clear" w:pos="4320"/>
        <w:tab w:val="clear" w:pos="8640"/>
      </w:tabs>
      <w:jc w:val="right"/>
      <w:rPr>
        <w:rFonts w:ascii="Times New Roman" w:hAnsi="Times New Roman"/>
        <w:szCs w:val="24"/>
      </w:rPr>
    </w:pPr>
    <w:r w:rsidRPr="00BC6F65">
      <w:rPr>
        <w:rFonts w:ascii="Times New Roman" w:hAnsi="Times New Roman"/>
        <w:szCs w:val="24"/>
      </w:rPr>
      <w:t xml:space="preserve">Page </w:t>
    </w:r>
    <w:r w:rsidRPr="00BC6F65">
      <w:rPr>
        <w:rStyle w:val="PageNumber"/>
        <w:szCs w:val="24"/>
      </w:rPr>
      <w:fldChar w:fldCharType="begin"/>
    </w:r>
    <w:r w:rsidRPr="00BC6F65">
      <w:rPr>
        <w:rStyle w:val="PageNumber"/>
        <w:szCs w:val="24"/>
      </w:rPr>
      <w:instrText xml:space="preserve"> PAGE </w:instrText>
    </w:r>
    <w:r w:rsidRPr="00BC6F65">
      <w:rPr>
        <w:rStyle w:val="PageNumber"/>
        <w:szCs w:val="24"/>
      </w:rPr>
      <w:fldChar w:fldCharType="separate"/>
    </w:r>
    <w:r>
      <w:rPr>
        <w:rStyle w:val="PageNumber"/>
        <w:szCs w:val="24"/>
      </w:rPr>
      <w:t>5</w:t>
    </w:r>
    <w:r w:rsidRPr="00BC6F65">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CD" w:rsidRDefault="00E274CD" w:rsidP="00E274CD">
      <w:r>
        <w:separator/>
      </w:r>
    </w:p>
  </w:footnote>
  <w:footnote w:type="continuationSeparator" w:id="0">
    <w:p w:rsidR="00E274CD" w:rsidRDefault="00E274CD" w:rsidP="00E2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45" w:rsidRDefault="00627345" w:rsidP="00360226">
    <w:pPr>
      <w:pStyle w:val="Header"/>
      <w:tabs>
        <w:tab w:val="clear" w:pos="4320"/>
        <w:tab w:val="clear" w:pos="8640"/>
      </w:tabs>
      <w:jc w:val="right"/>
    </w:pPr>
    <w:sdt>
      <w:sdtPr>
        <w:id w:val="1270896460"/>
        <w:docPartObj>
          <w:docPartGallery w:val="Watermarks"/>
          <w:docPartUnique/>
        </w:docPartObj>
      </w:sdtPr>
      <w:sdtContent>
        <w:r>
          <mc:AlternateContent>
            <mc:Choice Requires="wps">
              <w:drawing>
                <wp:anchor distT="0" distB="0" distL="114300" distR="114300" simplePos="0" relativeHeight="251659264" behindDoc="1" locked="0" layoutInCell="0" allowOverlap="1" wp14:anchorId="1D62371C" wp14:editId="5BE901D7">
                  <wp:simplePos x="0" y="0"/>
                  <wp:positionH relativeFrom="margin">
                    <wp:align>center</wp:align>
                  </wp:positionH>
                  <wp:positionV relativeFrom="margin">
                    <wp:align>center</wp:align>
                  </wp:positionV>
                  <wp:extent cx="5237480" cy="3142615"/>
                  <wp:effectExtent l="0" t="1143000" r="0" b="65786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7345" w:rsidRDefault="00627345" w:rsidP="00651D4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62371C" id="_x0000_t202" coordsize="21600,21600" o:spt="202" path="m,l,21600r21600,l21600,xe">
                  <v:stroke joinstyle="miter"/>
                  <v:path gradientshapeok="t" o:connecttype="rect"/>
                </v:shapetype>
                <v:shape id="WordArt 1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0TiQIAAP0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ySCtE4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627345" w:rsidRDefault="00627345" w:rsidP="00651D4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873"/>
    <w:multiLevelType w:val="singleLevel"/>
    <w:tmpl w:val="536813A6"/>
    <w:lvl w:ilvl="0">
      <w:start w:val="2"/>
      <w:numFmt w:val="upperLetter"/>
      <w:lvlText w:val="%1."/>
      <w:lvlJc w:val="left"/>
      <w:pPr>
        <w:tabs>
          <w:tab w:val="num" w:pos="720"/>
        </w:tabs>
        <w:ind w:left="720" w:hanging="360"/>
      </w:pPr>
      <w:rPr>
        <w:rFonts w:hint="default"/>
      </w:rPr>
    </w:lvl>
  </w:abstractNum>
  <w:abstractNum w:abstractNumId="1" w15:restartNumberingAfterBreak="0">
    <w:nsid w:val="0A837E3E"/>
    <w:multiLevelType w:val="hybridMultilevel"/>
    <w:tmpl w:val="C4268AC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14DF6632"/>
    <w:multiLevelType w:val="hybridMultilevel"/>
    <w:tmpl w:val="04BCFA1A"/>
    <w:lvl w:ilvl="0" w:tplc="04090015">
      <w:start w:val="1"/>
      <w:numFmt w:val="upperLetter"/>
      <w:lvlText w:val="%1."/>
      <w:lvlJc w:val="left"/>
      <w:pPr>
        <w:ind w:left="1080" w:hanging="360"/>
      </w:pPr>
    </w:lvl>
    <w:lvl w:ilvl="1" w:tplc="3FE48DB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490678"/>
    <w:multiLevelType w:val="hybridMultilevel"/>
    <w:tmpl w:val="AD645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21384"/>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D6DBF"/>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6" w15:restartNumberingAfterBreak="0">
    <w:nsid w:val="29C400FF"/>
    <w:multiLevelType w:val="hybridMultilevel"/>
    <w:tmpl w:val="04BCFA1A"/>
    <w:lvl w:ilvl="0" w:tplc="04090015">
      <w:start w:val="1"/>
      <w:numFmt w:val="upperLetter"/>
      <w:lvlText w:val="%1."/>
      <w:lvlJc w:val="left"/>
      <w:pPr>
        <w:ind w:left="630" w:hanging="360"/>
      </w:pPr>
    </w:lvl>
    <w:lvl w:ilvl="1" w:tplc="3FE48DB8">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560BBB"/>
    <w:multiLevelType w:val="hybridMultilevel"/>
    <w:tmpl w:val="E10C1244"/>
    <w:lvl w:ilvl="0" w:tplc="C4102CE0">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1820829"/>
    <w:multiLevelType w:val="hybridMultilevel"/>
    <w:tmpl w:val="75E2E13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1A8428C"/>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10" w15:restartNumberingAfterBreak="0">
    <w:nsid w:val="33FF7A37"/>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46138"/>
    <w:multiLevelType w:val="singleLevel"/>
    <w:tmpl w:val="2B8619CE"/>
    <w:lvl w:ilvl="0">
      <w:start w:val="1"/>
      <w:numFmt w:val="upperLetter"/>
      <w:lvlText w:val="%1."/>
      <w:lvlJc w:val="left"/>
      <w:pPr>
        <w:tabs>
          <w:tab w:val="num" w:pos="1080"/>
        </w:tabs>
        <w:ind w:left="720" w:firstLine="0"/>
      </w:pPr>
      <w:rPr>
        <w:rFonts w:ascii="Times New Roman" w:hAnsi="Times New Roman" w:hint="default"/>
        <w:b w:val="0"/>
        <w:i w:val="0"/>
        <w:sz w:val="24"/>
      </w:rPr>
    </w:lvl>
  </w:abstractNum>
  <w:abstractNum w:abstractNumId="12" w15:restartNumberingAfterBreak="0">
    <w:nsid w:val="49377525"/>
    <w:multiLevelType w:val="hybridMultilevel"/>
    <w:tmpl w:val="E8742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737B5"/>
    <w:multiLevelType w:val="hybridMultilevel"/>
    <w:tmpl w:val="8ED2832C"/>
    <w:lvl w:ilvl="0" w:tplc="B624F3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64BCA"/>
    <w:multiLevelType w:val="hybridMultilevel"/>
    <w:tmpl w:val="75E2E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61375E"/>
    <w:multiLevelType w:val="hybridMultilevel"/>
    <w:tmpl w:val="C4268ACA"/>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3"/>
  </w:num>
  <w:num w:numId="3">
    <w:abstractNumId w:val="12"/>
  </w:num>
  <w:num w:numId="4">
    <w:abstractNumId w:val="7"/>
  </w:num>
  <w:num w:numId="5">
    <w:abstractNumId w:val="2"/>
  </w:num>
  <w:num w:numId="6">
    <w:abstractNumId w:val="14"/>
  </w:num>
  <w:num w:numId="7">
    <w:abstractNumId w:val="6"/>
  </w:num>
  <w:num w:numId="8">
    <w:abstractNumId w:val="8"/>
  </w:num>
  <w:num w:numId="9">
    <w:abstractNumId w:val="11"/>
  </w:num>
  <w:num w:numId="10">
    <w:abstractNumId w:val="4"/>
  </w:num>
  <w:num w:numId="11">
    <w:abstractNumId w:val="1"/>
  </w:num>
  <w:num w:numId="12">
    <w:abstractNumId w:val="5"/>
  </w:num>
  <w:num w:numId="13">
    <w:abstractNumId w:val="13"/>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D2"/>
    <w:rsid w:val="00134EF8"/>
    <w:rsid w:val="0022555E"/>
    <w:rsid w:val="00381A11"/>
    <w:rsid w:val="00431CEA"/>
    <w:rsid w:val="004670A1"/>
    <w:rsid w:val="00627345"/>
    <w:rsid w:val="00903EA4"/>
    <w:rsid w:val="00A716FE"/>
    <w:rsid w:val="00B12E57"/>
    <w:rsid w:val="00B176A1"/>
    <w:rsid w:val="00E274CD"/>
    <w:rsid w:val="00E310D2"/>
    <w:rsid w:val="00F50A33"/>
    <w:rsid w:val="00FE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D836B-A765-4DAA-9AFD-FD079969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D2"/>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EA4"/>
    <w:pPr>
      <w:tabs>
        <w:tab w:val="center" w:pos="4320"/>
        <w:tab w:val="right" w:pos="8640"/>
      </w:tabs>
    </w:pPr>
    <w:rPr>
      <w:rFonts w:ascii="New York" w:hAnsi="New York"/>
      <w:noProof/>
    </w:rPr>
  </w:style>
  <w:style w:type="character" w:customStyle="1" w:styleId="FooterChar">
    <w:name w:val="Footer Char"/>
    <w:basedOn w:val="DefaultParagraphFont"/>
    <w:link w:val="Footer"/>
    <w:rsid w:val="00903EA4"/>
    <w:rPr>
      <w:rFonts w:ascii="New York" w:eastAsia="Times New Roman" w:hAnsi="New York" w:cs="Times New Roman"/>
      <w:noProof/>
      <w:sz w:val="24"/>
      <w:szCs w:val="20"/>
    </w:rPr>
  </w:style>
  <w:style w:type="character" w:styleId="PageNumber">
    <w:name w:val="page number"/>
    <w:basedOn w:val="DefaultParagraphFont"/>
    <w:rsid w:val="00903EA4"/>
  </w:style>
  <w:style w:type="paragraph" w:styleId="BodyTextIndent2">
    <w:name w:val="Body Text Indent 2"/>
    <w:basedOn w:val="Normal"/>
    <w:link w:val="BodyTextIndent2Char"/>
    <w:rsid w:val="00E274CD"/>
    <w:pPr>
      <w:tabs>
        <w:tab w:val="left" w:pos="450"/>
        <w:tab w:val="left" w:pos="2880"/>
        <w:tab w:val="left" w:pos="5310"/>
      </w:tabs>
      <w:ind w:left="2880" w:hanging="2880"/>
    </w:pPr>
    <w:rPr>
      <w:noProof/>
    </w:rPr>
  </w:style>
  <w:style w:type="character" w:customStyle="1" w:styleId="BodyTextIndent2Char">
    <w:name w:val="Body Text Indent 2 Char"/>
    <w:basedOn w:val="DefaultParagraphFont"/>
    <w:link w:val="BodyTextIndent2"/>
    <w:rsid w:val="00E274CD"/>
    <w:rPr>
      <w:rFonts w:ascii="Times New Roman" w:eastAsia="Times New Roman" w:hAnsi="Times New Roman" w:cs="Times New Roman"/>
      <w:noProof/>
      <w:sz w:val="24"/>
      <w:szCs w:val="20"/>
    </w:rPr>
  </w:style>
  <w:style w:type="paragraph" w:styleId="ListParagraph">
    <w:name w:val="List Paragraph"/>
    <w:basedOn w:val="Normal"/>
    <w:uiPriority w:val="34"/>
    <w:qFormat/>
    <w:rsid w:val="00E274CD"/>
    <w:pPr>
      <w:widowControl w:val="0"/>
      <w:autoSpaceDE w:val="0"/>
      <w:autoSpaceDN w:val="0"/>
      <w:ind w:left="720"/>
      <w:contextualSpacing/>
    </w:pPr>
    <w:rPr>
      <w:szCs w:val="24"/>
    </w:rPr>
  </w:style>
  <w:style w:type="paragraph" w:styleId="Header">
    <w:name w:val="header"/>
    <w:basedOn w:val="Normal"/>
    <w:link w:val="HeaderChar"/>
    <w:rsid w:val="00E274CD"/>
    <w:pPr>
      <w:tabs>
        <w:tab w:val="center" w:pos="4320"/>
        <w:tab w:val="right" w:pos="8640"/>
      </w:tabs>
    </w:pPr>
    <w:rPr>
      <w:rFonts w:ascii="New York" w:hAnsi="New York"/>
      <w:noProof/>
    </w:rPr>
  </w:style>
  <w:style w:type="character" w:customStyle="1" w:styleId="HeaderChar">
    <w:name w:val="Header Char"/>
    <w:basedOn w:val="DefaultParagraphFont"/>
    <w:link w:val="Header"/>
    <w:rsid w:val="00E274CD"/>
    <w:rPr>
      <w:rFonts w:ascii="New York" w:eastAsia="Times New Roman" w:hAnsi="New York" w:cs="Times New Roman"/>
      <w:noProof/>
      <w:sz w:val="24"/>
      <w:szCs w:val="20"/>
    </w:rPr>
  </w:style>
  <w:style w:type="paragraph" w:styleId="NormalWeb">
    <w:name w:val="Normal (Web)"/>
    <w:basedOn w:val="Normal"/>
    <w:uiPriority w:val="99"/>
    <w:semiHidden/>
    <w:unhideWhenUsed/>
    <w:rsid w:val="00E274C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AB13-A8B6-4528-A3B5-95B37B92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McLeod</dc:creator>
  <cp:keywords/>
  <dc:description/>
  <cp:lastModifiedBy>Julie McLeod</cp:lastModifiedBy>
  <cp:revision>2</cp:revision>
  <dcterms:created xsi:type="dcterms:W3CDTF">2017-06-15T20:24:00Z</dcterms:created>
  <dcterms:modified xsi:type="dcterms:W3CDTF">2017-06-15T20:24:00Z</dcterms:modified>
</cp:coreProperties>
</file>